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¿Por qué los bienes raíces </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son una inversión siempre atractiva?</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Ciudad de México, 24 de noviembre de 2022.- Invertir en bienes raíces es una acción orientada a proteger el patrimonio, las finanzas personales y generar beneficios sólidos a futuro.</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A diferencia de otros instrumentos como el mercado Forex, las acciones y las divisas, en las que siempre existe un alto riesgo basado en la volatilidad de esas herramientas, los bienes inmuebles son una inversión sólida y segura.</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numPr>
          <w:ilvl w:val="0"/>
          <w:numId w:val="3"/>
        </w:numPr>
        <w:ind w:left="720" w:hanging="360"/>
        <w:jc w:val="both"/>
        <w:rPr>
          <w:sz w:val="28"/>
          <w:szCs w:val="28"/>
          <w:u w:val="none"/>
        </w:rPr>
      </w:pPr>
      <w:r w:rsidDel="00000000" w:rsidR="00000000" w:rsidRPr="00000000">
        <w:rPr>
          <w:sz w:val="28"/>
          <w:szCs w:val="28"/>
          <w:rtl w:val="0"/>
        </w:rPr>
        <w:t xml:space="preserve">Un sector sólido</w:t>
      </w: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Lo anterior no es casualidad. Si el sector inmobiliario es una opción viable y atractiva para invertir, se debe a factores como el crecimiento de la construcción en el país como industria.</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hyperlink r:id="rId6">
        <w:r w:rsidDel="00000000" w:rsidR="00000000" w:rsidRPr="00000000">
          <w:rPr>
            <w:color w:val="1155cc"/>
            <w:u w:val="single"/>
            <w:rtl w:val="0"/>
          </w:rPr>
          <w:t xml:space="preserve">Estudios</w:t>
        </w:r>
      </w:hyperlink>
      <w:r w:rsidDel="00000000" w:rsidR="00000000" w:rsidRPr="00000000">
        <w:rPr>
          <w:rtl w:val="0"/>
        </w:rPr>
        <w:t xml:space="preserve"> revelan que la construcción creció más rápido que la economía enfrentando un fuerte avance en los precios de los insumos. Este año, según los datos, será la Obra Civil la que impulse el crecimiento del sector.</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El año pasado, de hecho, el PIB de la construcción fue de $1,082 millones de pesos; 7.2% más que en 2020. Esta tasa de crecimiento es superior a la que muestra el PIB Acumulado Total durante el mismo año, que fue  del 4.8%.</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numPr>
          <w:ilvl w:val="0"/>
          <w:numId w:val="4"/>
        </w:numPr>
        <w:ind w:left="720" w:hanging="360"/>
        <w:jc w:val="both"/>
        <w:rPr>
          <w:sz w:val="28"/>
          <w:szCs w:val="28"/>
          <w:u w:val="none"/>
        </w:rPr>
      </w:pPr>
      <w:r w:rsidDel="00000000" w:rsidR="00000000" w:rsidRPr="00000000">
        <w:rPr>
          <w:sz w:val="28"/>
          <w:szCs w:val="28"/>
          <w:rtl w:val="0"/>
        </w:rPr>
        <w:t xml:space="preserve">Los beneficios</w:t>
      </w:r>
      <w:r w:rsidDel="00000000" w:rsidR="00000000" w:rsidRPr="00000000">
        <w:rPr>
          <w:rtl w:val="0"/>
        </w:rPr>
      </w:r>
    </w:p>
    <w:p w:rsidR="00000000" w:rsidDel="00000000" w:rsidP="00000000" w:rsidRDefault="00000000" w:rsidRPr="00000000" w14:paraId="00000010">
      <w:pPr>
        <w:numPr>
          <w:ilvl w:val="0"/>
          <w:numId w:val="1"/>
        </w:numPr>
        <w:ind w:left="720" w:hanging="360"/>
        <w:jc w:val="both"/>
        <w:rPr>
          <w:u w:val="none"/>
        </w:rPr>
      </w:pPr>
      <w:r w:rsidDel="00000000" w:rsidR="00000000" w:rsidRPr="00000000">
        <w:rPr>
          <w:b w:val="1"/>
          <w:rtl w:val="0"/>
        </w:rPr>
        <w:t xml:space="preserve">Seguridad:</w:t>
      </w:r>
      <w:r w:rsidDel="00000000" w:rsidR="00000000" w:rsidRPr="00000000">
        <w:rPr>
          <w:rtl w:val="0"/>
        </w:rPr>
        <w:t xml:space="preserve"> Una propiedad inmobiliaria además de consistir en una inversión con un alto potencial en materia de rentabilidad, es una forma de proteger a la economía familiar y personal ante emergencias económicas que son difíciles de prever. </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Adicionalmente, una propiedad se considera una garantía financiera en caso de requerir créditos de diversos tipos, por lo que se puede utilizar para la obtención de una hipoteca o de otro tipo de préstamos, de ser necesarios.</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numPr>
          <w:ilvl w:val="0"/>
          <w:numId w:val="1"/>
        </w:numPr>
        <w:ind w:left="720" w:hanging="360"/>
        <w:jc w:val="both"/>
        <w:rPr>
          <w:u w:val="none"/>
        </w:rPr>
      </w:pPr>
      <w:r w:rsidDel="00000000" w:rsidR="00000000" w:rsidRPr="00000000">
        <w:rPr>
          <w:b w:val="1"/>
          <w:rtl w:val="0"/>
        </w:rPr>
        <w:t xml:space="preserve">Retorno de Inversión más rápido: </w:t>
      </w:r>
      <w:r w:rsidDel="00000000" w:rsidR="00000000" w:rsidRPr="00000000">
        <w:rPr>
          <w:rtl w:val="0"/>
        </w:rPr>
        <w:t xml:space="preserve">En el caso de las propiedades inmobiliarias, el ROI (Retorno de Inversión) se calcula de acuerdo a las condiciones en las que se efectuó la compra, la plusvalía de la zona y el precio al que posteriormente se puede vender o rentar la propiedad.</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Considerando que una propiedad incrementa su valor de acuerdo a los factores antes descritos y conforme pasa el tiempo, entonces el retorno de inversión se puede acelerar, tanto cuando se renta como cuando se pretende vender la propiedad.</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numPr>
          <w:ilvl w:val="0"/>
          <w:numId w:val="1"/>
        </w:numPr>
        <w:ind w:left="720" w:hanging="360"/>
        <w:jc w:val="both"/>
        <w:rPr>
          <w:u w:val="none"/>
        </w:rPr>
      </w:pPr>
      <w:r w:rsidDel="00000000" w:rsidR="00000000" w:rsidRPr="00000000">
        <w:rPr>
          <w:b w:val="1"/>
          <w:rtl w:val="0"/>
        </w:rPr>
        <w:t xml:space="preserve">Dinero trabajando, no estancado:</w:t>
      </w:r>
      <w:r w:rsidDel="00000000" w:rsidR="00000000" w:rsidRPr="00000000">
        <w:rPr>
          <w:rtl w:val="0"/>
        </w:rPr>
        <w:t xml:space="preserve"> La plusvalía de las propiedades hace que los bienes raíces sean capital que tiene crecimiento constante, retribuyendo económicamente al usuario e incrementando su patrimonio.</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numPr>
          <w:ilvl w:val="0"/>
          <w:numId w:val="2"/>
        </w:numPr>
        <w:ind w:left="720" w:hanging="360"/>
        <w:jc w:val="both"/>
        <w:rPr>
          <w:sz w:val="36"/>
          <w:szCs w:val="36"/>
          <w:u w:val="none"/>
        </w:rPr>
      </w:pPr>
      <w:r w:rsidDel="00000000" w:rsidR="00000000" w:rsidRPr="00000000">
        <w:rPr>
          <w:sz w:val="36"/>
          <w:szCs w:val="36"/>
          <w:rtl w:val="0"/>
        </w:rPr>
        <w:t xml:space="preserve">Impulsarlo con tecnología, una necesidad</w:t>
      </w: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Dicho lo anterior, no es casualidad que </w:t>
      </w:r>
      <w:hyperlink r:id="rId7">
        <w:r w:rsidDel="00000000" w:rsidR="00000000" w:rsidRPr="00000000">
          <w:rPr>
            <w:color w:val="1155cc"/>
            <w:u w:val="single"/>
            <w:rtl w:val="0"/>
          </w:rPr>
          <w:t xml:space="preserve">Wortev Capital </w:t>
        </w:r>
      </w:hyperlink>
      <w:r w:rsidDel="00000000" w:rsidR="00000000" w:rsidRPr="00000000">
        <w:rPr>
          <w:rtl w:val="0"/>
        </w:rPr>
        <w:t xml:space="preserve">asegure que si bien se vio afectado por la pandemia, el sector inmobiliario sigue siendo uno de los más sólidos de cara al 2023.</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Pero es importante hacer uso de herramientas tecnológicas que faciliten el proceso desde la búsqueda de las mejores zonas, los terrenos más rentables, hasta las proyecciones de renta y rendimientos.</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Por ejemplo, plataformas como </w:t>
      </w:r>
      <w:hyperlink r:id="rId8">
        <w:r w:rsidDel="00000000" w:rsidR="00000000" w:rsidRPr="00000000">
          <w:rPr>
            <w:color w:val="1155cc"/>
            <w:u w:val="single"/>
            <w:rtl w:val="0"/>
          </w:rPr>
          <w:t xml:space="preserve">Monopolio</w:t>
        </w:r>
      </w:hyperlink>
      <w:r w:rsidDel="00000000" w:rsidR="00000000" w:rsidRPr="00000000">
        <w:rPr>
          <w:rtl w:val="0"/>
        </w:rPr>
        <w:t xml:space="preserve">, de DD360,</w:t>
      </w:r>
      <w:r w:rsidDel="00000000" w:rsidR="00000000" w:rsidRPr="00000000">
        <w:rPr>
          <w:rtl w:val="0"/>
        </w:rPr>
        <w:t xml:space="preserve"> permiten al usuario y/o desarrollador realizar un avalúo digital en tan solo 2 minutos y 100% online. </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En esta plataforma, se accede a información oficial y actualizada sobre los bienes raíces del país, todo de manera gráfica, para su fácil entendimiento, y concisa, para poder llegar a los datos requeridos en pocos clics.</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t xml:space="preserve">Estas plataformas, además, tienen una injerencia importante en el manejo de las propiedades ya construidas. Esto debido a que permiten listarlas en internet, rentarlas, y monitorear su valor en tiempo real,  para cuantificar su plusvalía. Del mismo modo, es posible consultar y pagar todos los servicios de la propiedad en la plataforma, para estar al día, libre de cuotas y comisiones por impago.</w:t>
      </w:r>
    </w:p>
    <w:p w:rsidR="00000000" w:rsidDel="00000000" w:rsidP="00000000" w:rsidRDefault="00000000" w:rsidRPr="00000000" w14:paraId="00000024">
      <w:pPr>
        <w:jc w:val="both"/>
        <w:rPr>
          <w:i w:val="1"/>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i w:val="1"/>
          <w:rtl w:val="0"/>
        </w:rPr>
        <w:t xml:space="preserve">“Tener datos que permitan saber la rentabilidad real de las propiedades en lugar de seguir invirtiendo con base en información aproximada, es una forma de darle mayor solidez a una inversión como la inmobiliaria, que de por sí ya es más certera que con otros instrumentos. La tecnología refuerza la importancia de invertir en un sector con crecimiento constante y potencial de seguir incrementándose en el país de forma importante en los próximos años. Proveer más control y empoderamiento a los inversionistas con una solución digital, es y seguirá siendo nuestro objetivo en DD360”</w:t>
      </w:r>
      <w:r w:rsidDel="00000000" w:rsidR="00000000" w:rsidRPr="00000000">
        <w:rPr>
          <w:rtl w:val="0"/>
        </w:rPr>
        <w:t xml:space="preserve">, explica Jorge Combe, CEO y co-fundador de DD360.</w:t>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center"/>
        <w:rPr/>
      </w:pPr>
      <w:r w:rsidDel="00000000" w:rsidR="00000000" w:rsidRPr="00000000">
        <w:rPr>
          <w:rtl w:val="0"/>
        </w:rPr>
        <w:t xml:space="preserve">####</w:t>
      </w:r>
    </w:p>
    <w:p w:rsidR="00000000" w:rsidDel="00000000" w:rsidP="00000000" w:rsidRDefault="00000000" w:rsidRPr="00000000" w14:paraId="00000028">
      <w:pPr>
        <w:jc w:val="both"/>
        <w:rPr>
          <w:rFonts w:ascii="Open Sans" w:cs="Open Sans" w:eastAsia="Open Sans" w:hAnsi="Open Sans"/>
          <w:b w:val="1"/>
          <w:sz w:val="20"/>
          <w:szCs w:val="20"/>
          <w:u w:val="single"/>
        </w:rPr>
      </w:pPr>
      <w:r w:rsidDel="00000000" w:rsidR="00000000" w:rsidRPr="00000000">
        <w:rPr>
          <w:rtl w:val="0"/>
        </w:rPr>
      </w:r>
    </w:p>
    <w:p w:rsidR="00000000" w:rsidDel="00000000" w:rsidP="00000000" w:rsidRDefault="00000000" w:rsidRPr="00000000" w14:paraId="00000029">
      <w:pPr>
        <w:spacing w:line="240" w:lineRule="auto"/>
        <w:jc w:val="both"/>
        <w:rPr>
          <w:rFonts w:ascii="Open Sans" w:cs="Open Sans" w:eastAsia="Open Sans" w:hAnsi="Open Sans"/>
          <w:b w:val="1"/>
          <w:sz w:val="20"/>
          <w:szCs w:val="20"/>
          <w:u w:val="single"/>
        </w:rPr>
      </w:pPr>
      <w:r w:rsidDel="00000000" w:rsidR="00000000" w:rsidRPr="00000000">
        <w:rPr>
          <w:rFonts w:ascii="Open Sans" w:cs="Open Sans" w:eastAsia="Open Sans" w:hAnsi="Open Sans"/>
          <w:b w:val="1"/>
          <w:sz w:val="20"/>
          <w:szCs w:val="20"/>
          <w:u w:val="single"/>
          <w:rtl w:val="0"/>
        </w:rPr>
        <w:t xml:space="preserve">Sobre DD360</w:t>
      </w:r>
    </w:p>
    <w:p w:rsidR="00000000" w:rsidDel="00000000" w:rsidP="00000000" w:rsidRDefault="00000000" w:rsidRPr="00000000" w14:paraId="0000002A">
      <w:pPr>
        <w:spacing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DD360 es una plataforma online de financiamiento y gestión de proyectos residenciales, que opera créditos puente y pre-puente para desarrolladores, así como créditos hipotecarios para consumidores finales. Ha financiado más de 120 desarrollos construidos y comercializados en aproximadamente 4 años dentro del mercado de las finanzas e inversiones inmobiliarias. Con sede en la Ciudad de México, DD360 tiene el objetivo de ofrecer la mejor experiencia inmobiliaria en México, basada en tecnología. La firma participa en los mejores proyectos residenciales de la ciudad y ayuda a los desarrolladores a financiar y posicionar sus inmuebles. A través de su ecosistema digital, apoya a los desarrolladores desde el pre-financiamiento del proyecto hasta la comercialización de las unidades residenciales, mientras que a los consumidores finales les provee fácil acceso a créditos hipotecarios. Todo se hace mediante soluciones tecnológicas de vanguardia, rompiendo así el esquema tradicional de los créditos del sector inmobiliario e hipotecario mexicano.</w:t>
      </w:r>
    </w:p>
    <w:p w:rsidR="00000000" w:rsidDel="00000000" w:rsidP="00000000" w:rsidRDefault="00000000" w:rsidRPr="00000000" w14:paraId="0000002B">
      <w:pPr>
        <w:spacing w:line="240" w:lineRule="auto"/>
        <w:rPr/>
      </w:pPr>
      <w:r w:rsidDel="00000000" w:rsidR="00000000" w:rsidRPr="00000000">
        <w:rPr>
          <w:rtl w:val="0"/>
        </w:rPr>
      </w:r>
    </w:p>
    <w:p w:rsidR="00000000" w:rsidDel="00000000" w:rsidP="00000000" w:rsidRDefault="00000000" w:rsidRPr="00000000" w14:paraId="0000002C">
      <w:pPr>
        <w:spacing w:lin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Contacto para prensa </w:t>
      </w:r>
    </w:p>
    <w:p w:rsidR="00000000" w:rsidDel="00000000" w:rsidP="00000000" w:rsidRDefault="00000000" w:rsidRPr="00000000" w14:paraId="0000002D">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an</w:t>
      </w:r>
      <w:r w:rsidDel="00000000" w:rsidR="00000000" w:rsidRPr="00000000">
        <w:rPr>
          <w:rFonts w:ascii="Open Sans" w:cs="Open Sans" w:eastAsia="Open Sans" w:hAnsi="Open Sans"/>
          <w:b w:val="1"/>
          <w:color w:val="666666"/>
          <w:sz w:val="20"/>
          <w:szCs w:val="20"/>
          <w:rtl w:val="0"/>
        </w:rPr>
        <w:t xml:space="preserve">other </w:t>
      </w:r>
      <w:r w:rsidDel="00000000" w:rsidR="00000000" w:rsidRPr="00000000">
        <w:rPr>
          <w:rFonts w:ascii="Open Sans" w:cs="Open Sans" w:eastAsia="Open Sans" w:hAnsi="Open Sans"/>
          <w:sz w:val="20"/>
          <w:szCs w:val="20"/>
          <w:rtl w:val="0"/>
        </w:rPr>
        <w:t xml:space="preserve">México </w:t>
      </w:r>
    </w:p>
    <w:p w:rsidR="00000000" w:rsidDel="00000000" w:rsidP="00000000" w:rsidRDefault="00000000" w:rsidRPr="00000000" w14:paraId="0000002E">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Rodrigo Franco</w:t>
      </w:r>
    </w:p>
    <w:p w:rsidR="00000000" w:rsidDel="00000000" w:rsidP="00000000" w:rsidRDefault="00000000" w:rsidRPr="00000000" w14:paraId="0000002F">
      <w:pPr>
        <w:spacing w:line="240" w:lineRule="auto"/>
        <w:rPr>
          <w:rFonts w:ascii="Open Sans" w:cs="Open Sans" w:eastAsia="Open Sans" w:hAnsi="Open Sans"/>
          <w:sz w:val="20"/>
          <w:szCs w:val="20"/>
        </w:rPr>
      </w:pPr>
      <w:hyperlink r:id="rId9">
        <w:r w:rsidDel="00000000" w:rsidR="00000000" w:rsidRPr="00000000">
          <w:rPr>
            <w:rFonts w:ascii="Open Sans" w:cs="Open Sans" w:eastAsia="Open Sans" w:hAnsi="Open Sans"/>
            <w:color w:val="1155cc"/>
            <w:sz w:val="20"/>
            <w:szCs w:val="20"/>
            <w:u w:val="single"/>
            <w:rtl w:val="0"/>
          </w:rPr>
          <w:t xml:space="preserve">rodrigo.franco@another.co</w:t>
        </w:r>
      </w:hyperlink>
      <w:r w:rsidDel="00000000" w:rsidR="00000000" w:rsidRPr="00000000">
        <w:rPr>
          <w:rtl w:val="0"/>
        </w:rPr>
      </w:r>
    </w:p>
    <w:p w:rsidR="00000000" w:rsidDel="00000000" w:rsidP="00000000" w:rsidRDefault="00000000" w:rsidRPr="00000000" w14:paraId="00000030">
      <w:pPr>
        <w:spacing w:line="240" w:lineRule="auto"/>
        <w:rPr/>
      </w:pPr>
      <w:r w:rsidDel="00000000" w:rsidR="00000000" w:rsidRPr="00000000">
        <w:rPr>
          <w:rFonts w:ascii="Open Sans" w:cs="Open Sans" w:eastAsia="Open Sans" w:hAnsi="Open Sans"/>
          <w:sz w:val="20"/>
          <w:szCs w:val="20"/>
          <w:rtl w:val="0"/>
        </w:rPr>
        <w:t xml:space="preserve">5570517579</w:t>
      </w: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rPr/>
    </w:pPr>
    <w:r w:rsidDel="00000000" w:rsidR="00000000" w:rsidRPr="00000000">
      <w:rPr/>
      <w:drawing>
        <wp:inline distB="114300" distT="114300" distL="114300" distR="114300">
          <wp:extent cx="2100263" cy="55344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00263" cy="55344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rodrigo.franco@another.co" TargetMode="External"/><Relationship Id="rId5" Type="http://schemas.openxmlformats.org/officeDocument/2006/relationships/styles" Target="styles.xml"/><Relationship Id="rId6" Type="http://schemas.openxmlformats.org/officeDocument/2006/relationships/hyperlink" Target="https://www.bbvaresearch.com/publicaciones/situacion-inmobiliaria-mexico-primer-semestre-2022/#:~:text=Al%20cierre%20de%202021%20la,m%C3%A1s%20moderado%20para%20este%20a%C3%B1o." TargetMode="External"/><Relationship Id="rId7" Type="http://schemas.openxmlformats.org/officeDocument/2006/relationships/hyperlink" Target="https://wortev.capital/venture-capital/mejores-sectores-para-invertir-2022/" TargetMode="External"/><Relationship Id="rId8" Type="http://schemas.openxmlformats.org/officeDocument/2006/relationships/hyperlink" Target="https://monopolio.com.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